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38A8" w14:textId="4E23477F" w:rsidR="004F38A7" w:rsidRPr="00C94D11" w:rsidRDefault="004F38A7" w:rsidP="008F4BA9">
      <w:pPr>
        <w:jc w:val="both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Overbygningen til</w:t>
      </w:r>
      <w:r w:rsidRPr="00C94D11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hf-eksamen (2-årig hf)</w:t>
      </w:r>
      <w:r w:rsidR="007851A4" w:rsidRPr="00C94D11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</w:t>
      </w: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forudsætter en bestået</w:t>
      </w:r>
      <w:r w:rsidR="007851A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hf-eksamen</w:t>
      </w: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, der er påbegyndt den 1. august 2017 eller herefter. </w:t>
      </w:r>
      <w:r w:rsidR="007851A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Bevis for hf-eksamen </w:t>
      </w:r>
      <w:r w:rsidR="003B352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(2-årig hf) </w:t>
      </w: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kombineret med</w:t>
      </w:r>
      <w:r w:rsidR="007851A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</w:t>
      </w:r>
      <w:r w:rsidR="003B352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bevis for </w:t>
      </w:r>
      <w:r w:rsidR="007851A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overbygning til hf-eksamen </w:t>
      </w: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er placeret på niveau 4 i den danske nationale kvalifikationsramme, jf. </w:t>
      </w:r>
      <w:r w:rsidRPr="00C94D11">
        <w:rPr>
          <w:rFonts w:ascii="Segoe UI" w:hAnsi="Segoe UI" w:cs="Segoe UI"/>
          <w:color w:val="000000" w:themeColor="text1"/>
          <w:sz w:val="20"/>
          <w:szCs w:val="20"/>
        </w:rPr>
        <w:t>Uddannelses- og Forskningsministeriets</w:t>
      </w: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”Kvalifikationsrammen for Livslang Læring”.</w:t>
      </w:r>
      <w:r w:rsidR="007851A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Bevis for hf-eksamen </w:t>
      </w:r>
      <w:r w:rsidR="003B352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(2-årig hf) </w:t>
      </w:r>
      <w:r w:rsidR="007851A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kombineret med </w:t>
      </w:r>
      <w:r w:rsidR="003B352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bevis for </w:t>
      </w:r>
      <w:r w:rsidR="007851A4"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overbygning til hf-eksamen </w:t>
      </w: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giver generel studiekompetence, herunder adgang til optagelse på universitetsbacheloruddannelser.  </w:t>
      </w:r>
    </w:p>
    <w:p w14:paraId="0579AF6B" w14:textId="7203EDE3" w:rsidR="00851874" w:rsidRPr="00C94D11" w:rsidRDefault="004F38A7" w:rsidP="00C94D11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Betingelserne for at </w:t>
      </w:r>
      <w:r w:rsidR="007851A4" w:rsidRPr="00C94D11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opnå et </w:t>
      </w:r>
      <w:r w:rsidR="007851A4"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bevis for hf-eksamen </w:t>
      </w:r>
      <w:r w:rsidR="003B3524"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(2-årig</w:t>
      </w:r>
      <w:r w:rsidR="0097173E"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 hf</w:t>
      </w:r>
      <w:r w:rsidR="003B3524"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) </w:t>
      </w:r>
      <w:r w:rsidR="0097173E"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samt </w:t>
      </w:r>
      <w:r w:rsidR="003B3524"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bevis for </w:t>
      </w:r>
      <w:r w:rsidR="007851A4"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overbygning til hf-eksamen </w:t>
      </w:r>
      <w:r w:rsidRPr="00C94D11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er fastsat i </w:t>
      </w:r>
      <w:r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følgende love og bekendtgørelser med senere ændringer:</w:t>
      </w:r>
    </w:p>
    <w:p w14:paraId="6289A1C4" w14:textId="77777777" w:rsidR="001A0603" w:rsidRPr="00C94D11" w:rsidRDefault="000C421E" w:rsidP="001A0603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1106 af 12/09/2025 om de gymnasiale uddannelser.</w:t>
      </w:r>
    </w:p>
    <w:p w14:paraId="43ACC540" w14:textId="2865B763" w:rsidR="001A0603" w:rsidRPr="00C94D11" w:rsidRDefault="001A0603" w:rsidP="005B50AB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41 af 12/01/2024 om de gymnasiale uddannelser.</w:t>
      </w:r>
    </w:p>
    <w:p w14:paraId="35674DFF" w14:textId="77777777" w:rsidR="000C421E" w:rsidRPr="00C94D11" w:rsidRDefault="000C421E" w:rsidP="000C421E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 xml:space="preserve">Bekendtgørelse </w:t>
      </w: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nr. 3 af 05/01/2026 om gymnasiale prøver, prøver i de almene voksenuddannelser m.v.</w:t>
      </w:r>
    </w:p>
    <w:p w14:paraId="06450770" w14:textId="77777777" w:rsidR="001A0603" w:rsidRPr="00C94D11" w:rsidRDefault="001A0603" w:rsidP="001A0603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Bekendtgørelse nr. 343 af 08/04/2016 om prøver og eksamen i de almene og studieforberedende ungdoms- og voksenuddannelser.</w:t>
      </w:r>
    </w:p>
    <w:p w14:paraId="299FBF45" w14:textId="77777777" w:rsidR="001A0603" w:rsidRPr="00C94D11" w:rsidRDefault="001A0603" w:rsidP="001A0603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Bekendtgørelse nr. 1276 af 27/11/2017 om visse regler om prøver og eksamen i de gymnasiale uddannelser.</w:t>
      </w:r>
    </w:p>
    <w:p w14:paraId="7762B627" w14:textId="77777777" w:rsidR="001A0603" w:rsidRPr="00C94D11" w:rsidRDefault="001A0603" w:rsidP="001A0603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Bekendtgørelse nr. 224 af 19/03/2018 om adgangen til at medbringe og anvende udstyr, herunder digitale hjælpemidler, under prøver i de gymnasiale uddannelser.</w:t>
      </w:r>
    </w:p>
    <w:p w14:paraId="23AD5452" w14:textId="035EDF92" w:rsidR="008F4BA9" w:rsidRPr="00C94D11" w:rsidRDefault="008F4BA9" w:rsidP="001A0603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262 af 20/03/2007 om karakterskala og anden bedømmelse.</w:t>
      </w:r>
    </w:p>
    <w:p w14:paraId="3C258D1F" w14:textId="77777777" w:rsidR="001A0603" w:rsidRPr="00C94D11" w:rsidRDefault="001A0603" w:rsidP="00441901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Bekendtgørelse nr. 497 af 18/05/2017 om de gymnasiale uddannelser.</w:t>
      </w:r>
    </w:p>
    <w:p w14:paraId="0ECF442C" w14:textId="59A57926" w:rsidR="001A0603" w:rsidRPr="00C94D11" w:rsidRDefault="001A0603" w:rsidP="00441901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Bekendtgørelse nr. 527 af 02/05/2019 om gymnasial supplering.</w:t>
      </w:r>
    </w:p>
    <w:p w14:paraId="0BD9BADC" w14:textId="5894EBF9" w:rsidR="00712B42" w:rsidRPr="00C94D11" w:rsidRDefault="004F38A7" w:rsidP="00C94D11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C94D11">
        <w:rPr>
          <w:rFonts w:ascii="Segoe UI" w:hAnsi="Segoe UI" w:cs="Segoe UI"/>
          <w:b/>
          <w:bCs/>
          <w:color w:val="000000" w:themeColor="text1"/>
          <w:sz w:val="20"/>
          <w:szCs w:val="20"/>
        </w:rPr>
        <w:t>Beskrivelse af de enkelte karakterer</w:t>
      </w:r>
      <w:r w:rsidR="001A0603" w:rsidRPr="00C94D11">
        <w:rPr>
          <w:rFonts w:ascii="Segoe UI" w:hAnsi="Segoe UI" w:cs="Segoe UI"/>
          <w:b/>
          <w:bCs/>
          <w:color w:val="000000" w:themeColor="text1"/>
          <w:sz w:val="20"/>
          <w:szCs w:val="20"/>
        </w:rPr>
        <w:t>:</w:t>
      </w:r>
    </w:p>
    <w:p w14:paraId="3AE23049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12 gives for den fremragende præstation, der demonstrerer udtømmende opfyldelse af fagets mål, med ingen eller få uvæsentlige mangler.</w:t>
      </w:r>
    </w:p>
    <w:p w14:paraId="12633A5D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10 gives for den fortrinlige præstation, der demonstrerer omfattende opfyldelse af fagets mål, med nogle mindre væsentlige mangler.</w:t>
      </w:r>
    </w:p>
    <w:p w14:paraId="03C2AD19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7 gives for den gode præstation, der demonstrerer opfyldelse af fagets mål, med en del mangler.</w:t>
      </w:r>
    </w:p>
    <w:p w14:paraId="5E774B1B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4 gives for den jævne præstation, der demonstrerer en mindre grad af opfyldelse af fagets mål, med adskillige væsentlige mangler.</w:t>
      </w:r>
    </w:p>
    <w:p w14:paraId="21893F66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 xml:space="preserve">02 gives for den tilstrækkelige præstation, der demonstrerer den minimalt acceptable grad af opfyldelse af fagets mål. </w:t>
      </w:r>
    </w:p>
    <w:p w14:paraId="2951F7CF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00 gives for den utilstrækkelige præstation, der ikke demonstrerer en acceptabel grad af opfyldelse af fagets mål.</w:t>
      </w:r>
    </w:p>
    <w:p w14:paraId="38BA7B3B" w14:textId="5A4A32F4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</w:rPr>
        <w:t>-3 gives for den helt uacceptable præstation.</w:t>
      </w:r>
    </w:p>
    <w:p w14:paraId="25AC1849" w14:textId="15F3A350" w:rsidR="00712B42" w:rsidRPr="00C94D11" w:rsidRDefault="004F38A7" w:rsidP="00C94D11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val="en-US"/>
        </w:rPr>
      </w:pPr>
      <w:r w:rsidRPr="00C94D11">
        <w:rPr>
          <w:rFonts w:ascii="Segoe UI" w:hAnsi="Segoe UI" w:cs="Segoe UI"/>
          <w:b/>
          <w:bCs/>
          <w:color w:val="000000" w:themeColor="text1"/>
          <w:sz w:val="20"/>
          <w:szCs w:val="20"/>
          <w:lang w:val="en-US"/>
        </w:rPr>
        <w:t>The grades are described as follows:</w:t>
      </w:r>
    </w:p>
    <w:p w14:paraId="562C7399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tabs>
          <w:tab w:val="clear" w:pos="360"/>
          <w:tab w:val="num" w:pos="720"/>
        </w:tabs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val="en-US"/>
        </w:rPr>
        <w:t xml:space="preserve">12: For an excellent performance displaying a high level of command of all aspects of the relevant material, with no or only a few minor weaknesses. </w:t>
      </w:r>
    </w:p>
    <w:p w14:paraId="025B8E93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val="en-US"/>
        </w:rPr>
        <w:t>10: For a very good performance displaying a high level of command of most aspects of the relevant material, with only minor weaknesses.</w:t>
      </w:r>
    </w:p>
    <w:p w14:paraId="0D7956A7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val="en-US"/>
        </w:rPr>
        <w:t xml:space="preserve">7: For a good performance displaying good command of the relevant material but also some weaknesses. </w:t>
      </w:r>
    </w:p>
    <w:p w14:paraId="02FDEF75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val="en-US"/>
        </w:rPr>
        <w:t>4: For a fair performance displaying some command of the relevant material but also some major weaknesses.</w:t>
      </w:r>
    </w:p>
    <w:p w14:paraId="62D81B1E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val="en-US"/>
        </w:rPr>
        <w:t xml:space="preserve">02: For a performance meeting only the minimum requirements for acceptance. </w:t>
      </w:r>
    </w:p>
    <w:p w14:paraId="17952FE9" w14:textId="77777777" w:rsidR="004F38A7" w:rsidRPr="00C94D11" w:rsidRDefault="004F38A7" w:rsidP="004F38A7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val="en-US"/>
        </w:rPr>
        <w:t>00: For a performance which does not meet the minimum requirements for acceptance.</w:t>
      </w:r>
    </w:p>
    <w:p w14:paraId="515BB83D" w14:textId="77777777" w:rsidR="00DC0AF3" w:rsidRPr="00C94D11" w:rsidRDefault="004F38A7" w:rsidP="00851874">
      <w:pPr>
        <w:pStyle w:val="Opstilling-punkttegn"/>
        <w:numPr>
          <w:ilvl w:val="0"/>
          <w:numId w:val="3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C94D11">
        <w:rPr>
          <w:rFonts w:ascii="Segoe UI" w:hAnsi="Segoe UI" w:cs="Segoe UI"/>
          <w:color w:val="000000" w:themeColor="text1"/>
          <w:sz w:val="20"/>
          <w:szCs w:val="20"/>
          <w:lang w:val="en-US"/>
        </w:rPr>
        <w:t>-3: For a performance which is unacceptable in all respects.</w:t>
      </w:r>
    </w:p>
    <w:sectPr w:rsidR="00DC0AF3" w:rsidRPr="00C94D11" w:rsidSect="00851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8244" w14:textId="77777777" w:rsidR="00306E36" w:rsidRDefault="00306E36" w:rsidP="00DB5094">
      <w:pPr>
        <w:spacing w:after="0" w:line="240" w:lineRule="auto"/>
      </w:pPr>
      <w:r>
        <w:separator/>
      </w:r>
    </w:p>
  </w:endnote>
  <w:endnote w:type="continuationSeparator" w:id="0">
    <w:p w14:paraId="2B83C41D" w14:textId="77777777" w:rsidR="00306E36" w:rsidRDefault="00306E36" w:rsidP="00DB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C176" w14:textId="77777777" w:rsidR="00DB5094" w:rsidRDefault="00DB509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2198" w14:textId="77777777" w:rsidR="00DB5094" w:rsidRDefault="00DB509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9D53" w14:textId="77777777" w:rsidR="00DB5094" w:rsidRDefault="00DB50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C333" w14:textId="77777777" w:rsidR="00306E36" w:rsidRDefault="00306E36" w:rsidP="00DB5094">
      <w:pPr>
        <w:spacing w:after="0" w:line="240" w:lineRule="auto"/>
      </w:pPr>
      <w:r>
        <w:separator/>
      </w:r>
    </w:p>
  </w:footnote>
  <w:footnote w:type="continuationSeparator" w:id="0">
    <w:p w14:paraId="6988D873" w14:textId="77777777" w:rsidR="00306E36" w:rsidRDefault="00306E36" w:rsidP="00DB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86B7" w14:textId="77777777" w:rsidR="00DB5094" w:rsidRDefault="00DB509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9D2E" w14:textId="77777777" w:rsidR="00DB5094" w:rsidRDefault="00DB509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3F24" w14:textId="77777777" w:rsidR="00DB5094" w:rsidRDefault="00DB509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2422B8"/>
    <w:lvl w:ilvl="0">
      <w:start w:val="1"/>
      <w:numFmt w:val="decimal"/>
      <w:pStyle w:val="Opstilling-talellerbogst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02C070"/>
    <w:lvl w:ilvl="0">
      <w:start w:val="1"/>
      <w:numFmt w:val="decimal"/>
      <w:pStyle w:val="Opstilling-talellerbogs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2CB764"/>
    <w:lvl w:ilvl="0">
      <w:start w:val="1"/>
      <w:numFmt w:val="decimal"/>
      <w:pStyle w:val="Opstilling-punkttegn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8166A44"/>
    <w:lvl w:ilvl="0">
      <w:start w:val="1"/>
      <w:numFmt w:val="decimal"/>
      <w:pStyle w:val="Opstilling-punktteg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ADEBF42"/>
    <w:lvl w:ilvl="0">
      <w:start w:val="1"/>
      <w:numFmt w:val="bullet"/>
      <w:pStyle w:val="Opstilling-punkttegn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7E5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324C3E"/>
    <w:lvl w:ilvl="0">
      <w:start w:val="1"/>
      <w:numFmt w:val="bullet"/>
      <w:pStyle w:val="Opstilling-talellerbogs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861458"/>
    <w:lvl w:ilvl="0">
      <w:start w:val="1"/>
      <w:numFmt w:val="bullet"/>
      <w:pStyle w:val="Opstilling-punktteg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C2DF7E"/>
    <w:lvl w:ilvl="0">
      <w:start w:val="1"/>
      <w:numFmt w:val="decimal"/>
      <w:pStyle w:val="Opstilling-punkttegn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FC8767A"/>
    <w:lvl w:ilvl="0">
      <w:start w:val="1"/>
      <w:numFmt w:val="bullet"/>
      <w:pStyle w:val="Opstilling-talellerbog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41186">
    <w:abstractNumId w:val="9"/>
  </w:num>
  <w:num w:numId="2" w16cid:durableId="997533764">
    <w:abstractNumId w:val="7"/>
  </w:num>
  <w:num w:numId="3" w16cid:durableId="1585921516">
    <w:abstractNumId w:val="6"/>
  </w:num>
  <w:num w:numId="4" w16cid:durableId="279265807">
    <w:abstractNumId w:val="5"/>
  </w:num>
  <w:num w:numId="5" w16cid:durableId="1347752647">
    <w:abstractNumId w:val="4"/>
  </w:num>
  <w:num w:numId="6" w16cid:durableId="1215196478">
    <w:abstractNumId w:val="8"/>
  </w:num>
  <w:num w:numId="7" w16cid:durableId="1968778633">
    <w:abstractNumId w:val="3"/>
  </w:num>
  <w:num w:numId="8" w16cid:durableId="1603417932">
    <w:abstractNumId w:val="2"/>
  </w:num>
  <w:num w:numId="9" w16cid:durableId="965894100">
    <w:abstractNumId w:val="1"/>
  </w:num>
  <w:num w:numId="10" w16cid:durableId="1984192721">
    <w:abstractNumId w:val="0"/>
  </w:num>
  <w:num w:numId="11" w16cid:durableId="1005330345">
    <w:abstractNumId w:val="9"/>
  </w:num>
  <w:num w:numId="12" w16cid:durableId="439296312">
    <w:abstractNumId w:val="7"/>
  </w:num>
  <w:num w:numId="13" w16cid:durableId="1931353048">
    <w:abstractNumId w:val="6"/>
  </w:num>
  <w:num w:numId="14" w16cid:durableId="497813295">
    <w:abstractNumId w:val="5"/>
  </w:num>
  <w:num w:numId="15" w16cid:durableId="1165897098">
    <w:abstractNumId w:val="4"/>
  </w:num>
  <w:num w:numId="16" w16cid:durableId="1582331357">
    <w:abstractNumId w:val="8"/>
  </w:num>
  <w:num w:numId="17" w16cid:durableId="1522628533">
    <w:abstractNumId w:val="3"/>
  </w:num>
  <w:num w:numId="18" w16cid:durableId="648827654">
    <w:abstractNumId w:val="2"/>
  </w:num>
  <w:num w:numId="19" w16cid:durableId="2057393900">
    <w:abstractNumId w:val="1"/>
  </w:num>
  <w:num w:numId="20" w16cid:durableId="1124420545">
    <w:abstractNumId w:val="0"/>
  </w:num>
  <w:num w:numId="21" w16cid:durableId="1674916188">
    <w:abstractNumId w:val="9"/>
  </w:num>
  <w:num w:numId="22" w16cid:durableId="335499032">
    <w:abstractNumId w:val="7"/>
  </w:num>
  <w:num w:numId="23" w16cid:durableId="205146839">
    <w:abstractNumId w:val="6"/>
  </w:num>
  <w:num w:numId="24" w16cid:durableId="1690177713">
    <w:abstractNumId w:val="5"/>
  </w:num>
  <w:num w:numId="25" w16cid:durableId="574585424">
    <w:abstractNumId w:val="4"/>
  </w:num>
  <w:num w:numId="26" w16cid:durableId="1108548273">
    <w:abstractNumId w:val="8"/>
  </w:num>
  <w:num w:numId="27" w16cid:durableId="1865710782">
    <w:abstractNumId w:val="3"/>
  </w:num>
  <w:num w:numId="28" w16cid:durableId="425882263">
    <w:abstractNumId w:val="2"/>
  </w:num>
  <w:num w:numId="29" w16cid:durableId="1821726385">
    <w:abstractNumId w:val="1"/>
  </w:num>
  <w:num w:numId="30" w16cid:durableId="1687563789">
    <w:abstractNumId w:val="0"/>
  </w:num>
  <w:num w:numId="31" w16cid:durableId="1654604207">
    <w:abstractNumId w:val="9"/>
  </w:num>
  <w:num w:numId="32" w16cid:durableId="1453477113">
    <w:abstractNumId w:val="9"/>
  </w:num>
  <w:num w:numId="33" w16cid:durableId="1735228687">
    <w:abstractNumId w:val="9"/>
  </w:num>
  <w:num w:numId="34" w16cid:durableId="433860679">
    <w:abstractNumId w:val="10"/>
  </w:num>
  <w:num w:numId="35" w16cid:durableId="1770467687">
    <w:abstractNumId w:val="7"/>
  </w:num>
  <w:num w:numId="36" w16cid:durableId="28377777">
    <w:abstractNumId w:val="6"/>
  </w:num>
  <w:num w:numId="37" w16cid:durableId="959989147">
    <w:abstractNumId w:val="5"/>
  </w:num>
  <w:num w:numId="38" w16cid:durableId="1783571137">
    <w:abstractNumId w:val="4"/>
  </w:num>
  <w:num w:numId="39" w16cid:durableId="921066857">
    <w:abstractNumId w:val="8"/>
  </w:num>
  <w:num w:numId="40" w16cid:durableId="1421833398">
    <w:abstractNumId w:val="3"/>
  </w:num>
  <w:num w:numId="41" w16cid:durableId="136923261">
    <w:abstractNumId w:val="2"/>
  </w:num>
  <w:num w:numId="42" w16cid:durableId="338433762">
    <w:abstractNumId w:val="1"/>
  </w:num>
  <w:num w:numId="43" w16cid:durableId="106491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7"/>
    <w:rsid w:val="000505F7"/>
    <w:rsid w:val="00096657"/>
    <w:rsid w:val="000C421E"/>
    <w:rsid w:val="000C75CB"/>
    <w:rsid w:val="001A0603"/>
    <w:rsid w:val="001C6B86"/>
    <w:rsid w:val="002172CC"/>
    <w:rsid w:val="002853D8"/>
    <w:rsid w:val="00306E36"/>
    <w:rsid w:val="003B3524"/>
    <w:rsid w:val="003D2A67"/>
    <w:rsid w:val="003D6F37"/>
    <w:rsid w:val="00436402"/>
    <w:rsid w:val="00441901"/>
    <w:rsid w:val="004D25D3"/>
    <w:rsid w:val="004F38A7"/>
    <w:rsid w:val="0053412D"/>
    <w:rsid w:val="00560541"/>
    <w:rsid w:val="005B50AB"/>
    <w:rsid w:val="00611E18"/>
    <w:rsid w:val="00701DF0"/>
    <w:rsid w:val="007106DC"/>
    <w:rsid w:val="00712B42"/>
    <w:rsid w:val="007851A4"/>
    <w:rsid w:val="007A14C6"/>
    <w:rsid w:val="00851874"/>
    <w:rsid w:val="008675F0"/>
    <w:rsid w:val="008F4BA9"/>
    <w:rsid w:val="0097173E"/>
    <w:rsid w:val="009D65D6"/>
    <w:rsid w:val="00B51379"/>
    <w:rsid w:val="00C94D11"/>
    <w:rsid w:val="00CA4FFD"/>
    <w:rsid w:val="00CC3BE1"/>
    <w:rsid w:val="00CF6229"/>
    <w:rsid w:val="00D30644"/>
    <w:rsid w:val="00D406E4"/>
    <w:rsid w:val="00D92200"/>
    <w:rsid w:val="00DB0F6E"/>
    <w:rsid w:val="00DB5094"/>
    <w:rsid w:val="00DC0AF3"/>
    <w:rsid w:val="00E408F5"/>
    <w:rsid w:val="00E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6AC78"/>
  <w14:defaultImageDpi w14:val="0"/>
  <w15:docId w15:val="{B2C1FB94-7C24-4955-A5CC-75C39E68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8A7"/>
    <w:pPr>
      <w:spacing w:after="200" w:line="276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7173E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173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173E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173E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173E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173E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173E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173E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173E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97173E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97173E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97173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97173E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97173E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97173E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97173E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97173E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97173E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rsid w:val="004F38A7"/>
    <w:rPr>
      <w:rFonts w:ascii="Tahoma" w:hAnsi="Tahoma"/>
      <w:color w:val="000000"/>
      <w:sz w:val="24"/>
      <w:shd w:val="clear" w:color="auto" w:fill="auto"/>
      <w:lang w:val="da-DK" w:eastAsia="x-none"/>
    </w:rPr>
  </w:style>
  <w:style w:type="paragraph" w:styleId="Ingenafstand">
    <w:name w:val="No Spacing"/>
    <w:uiPriority w:val="1"/>
    <w:qFormat/>
    <w:rsid w:val="004F38A7"/>
    <w:pPr>
      <w:spacing w:after="0" w:line="240" w:lineRule="auto"/>
    </w:pPr>
    <w:rPr>
      <w:rFonts w:ascii="Calibri" w:hAnsi="Calibri" w:cs="Times New Roman"/>
    </w:rPr>
  </w:style>
  <w:style w:type="paragraph" w:styleId="Opstilling-punkttegn">
    <w:name w:val="List Bullet"/>
    <w:basedOn w:val="Normal"/>
    <w:uiPriority w:val="99"/>
    <w:unhideWhenUsed/>
    <w:rsid w:val="004F38A7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B3524"/>
    <w:rPr>
      <w:rFonts w:cs="Times New Roman"/>
      <w:sz w:val="16"/>
      <w:szCs w:val="16"/>
      <w:lang w:val="da-DK" w:eastAsia="x-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B35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3B3524"/>
    <w:rPr>
      <w:rFonts w:ascii="Calibri" w:hAnsi="Calibri"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35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3B3524"/>
    <w:rPr>
      <w:rFonts w:ascii="Calibri" w:hAnsi="Calibri" w:cs="Times New Roman"/>
      <w:b/>
      <w:bCs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3B3524"/>
    <w:rPr>
      <w:rFonts w:ascii="Segoe UI" w:hAnsi="Segoe UI" w:cs="Segoe UI"/>
      <w:sz w:val="18"/>
      <w:szCs w:val="18"/>
      <w:lang w:val="da-DK" w:eastAsia="x-none"/>
    </w:rPr>
  </w:style>
  <w:style w:type="paragraph" w:styleId="Afsenderadresse">
    <w:name w:val="envelope return"/>
    <w:basedOn w:val="Normal"/>
    <w:uiPriority w:val="99"/>
    <w:semiHidden/>
    <w:unhideWhenUsed/>
    <w:rsid w:val="0097173E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717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97173E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97173E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97173E"/>
  </w:style>
  <w:style w:type="paragraph" w:styleId="Billedtekst">
    <w:name w:val="caption"/>
    <w:basedOn w:val="Normal"/>
    <w:next w:val="Normal"/>
    <w:uiPriority w:val="35"/>
    <w:semiHidden/>
    <w:unhideWhenUsed/>
    <w:qFormat/>
    <w:rsid w:val="0097173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7173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97173E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717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97173E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97173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7173E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7173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7173E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7173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7173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97173E"/>
    <w:rPr>
      <w:rFonts w:ascii="Calibri" w:hAnsi="Calibri"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7173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7173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97173E"/>
    <w:rPr>
      <w:rFonts w:ascii="Calibri" w:hAnsi="Calibri"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9717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97173E"/>
    <w:rPr>
      <w:rFonts w:ascii="Calibri" w:hAnsi="Calibri"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7173E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7173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7173E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7173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97173E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7173E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7173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97173E"/>
    <w:rPr>
      <w:rFonts w:ascii="Calibri" w:hAnsi="Calibri"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717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97173E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97173E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97173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97173E"/>
    <w:rPr>
      <w:rFonts w:ascii="Calibri" w:hAnsi="Calibri"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97173E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97173E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97173E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97173E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97173E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97173E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97173E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97173E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97173E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7173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7173E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7173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7173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7173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7173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7173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7173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7173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7173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7173E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97173E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97173E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97173E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97173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717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717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717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7173E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97173E"/>
    <w:pPr>
      <w:spacing w:after="0"/>
    </w:pPr>
  </w:style>
  <w:style w:type="paragraph" w:styleId="Listeafsnit">
    <w:name w:val="List Paragraph"/>
    <w:basedOn w:val="Normal"/>
    <w:uiPriority w:val="34"/>
    <w:qFormat/>
    <w:rsid w:val="0097173E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97173E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97173E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97173E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7173E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7173E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7173E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7173E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7173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9717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97173E"/>
    <w:rPr>
      <w:rFonts w:ascii="Consolas" w:hAnsi="Consolas" w:cs="Times New Roman"/>
      <w:sz w:val="20"/>
      <w:szCs w:val="20"/>
      <w:lang w:val="da-DK" w:eastAsia="x-none"/>
    </w:rPr>
  </w:style>
  <w:style w:type="table" w:styleId="Mediumgitter1">
    <w:name w:val="Medium Grid 1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7173E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7173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7173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7173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7173E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7173E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7173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7173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97173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7173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7173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7173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7173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7173E"/>
    <w:pPr>
      <w:numPr>
        <w:numId w:val="15"/>
      </w:numPr>
      <w:tabs>
        <w:tab w:val="num" w:pos="643"/>
      </w:tabs>
      <w:ind w:left="643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7173E"/>
    <w:pPr>
      <w:numPr>
        <w:numId w:val="16"/>
      </w:numPr>
      <w:tabs>
        <w:tab w:val="clear" w:pos="360"/>
        <w:tab w:val="num" w:pos="926"/>
      </w:tabs>
      <w:ind w:left="926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7173E"/>
    <w:pPr>
      <w:numPr>
        <w:numId w:val="17"/>
      </w:numPr>
      <w:tabs>
        <w:tab w:val="num" w:pos="1209"/>
      </w:tabs>
      <w:ind w:left="1209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7173E"/>
    <w:pPr>
      <w:numPr>
        <w:numId w:val="18"/>
      </w:numPr>
      <w:tabs>
        <w:tab w:val="num" w:pos="1492"/>
      </w:tabs>
      <w:ind w:left="1492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7173E"/>
    <w:pPr>
      <w:numPr>
        <w:numId w:val="19"/>
      </w:numPr>
      <w:ind w:left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7173E"/>
    <w:pPr>
      <w:numPr>
        <w:numId w:val="20"/>
      </w:numPr>
      <w:tabs>
        <w:tab w:val="num" w:pos="643"/>
      </w:tabs>
      <w:ind w:left="643"/>
      <w:contextualSpacing/>
    </w:pPr>
  </w:style>
  <w:style w:type="paragraph" w:styleId="Opstilling-talellerbogst3">
    <w:name w:val="List Number 3"/>
    <w:basedOn w:val="Normal"/>
    <w:uiPriority w:val="99"/>
    <w:unhideWhenUsed/>
    <w:rsid w:val="0097173E"/>
    <w:pPr>
      <w:numPr>
        <w:numId w:val="21"/>
      </w:numPr>
      <w:tabs>
        <w:tab w:val="clear" w:pos="360"/>
        <w:tab w:val="num" w:pos="926"/>
      </w:tabs>
      <w:ind w:left="926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7173E"/>
    <w:pPr>
      <w:tabs>
        <w:tab w:val="num" w:pos="643"/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7173E"/>
    <w:pPr>
      <w:numPr>
        <w:numId w:val="23"/>
      </w:numPr>
      <w:tabs>
        <w:tab w:val="num" w:pos="1492"/>
      </w:tabs>
      <w:ind w:left="1492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7173E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97173E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unhideWhenUsed/>
    <w:rsid w:val="0097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97173E"/>
    <w:rPr>
      <w:rFonts w:ascii="Calibri" w:hAnsi="Calibri"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unhideWhenUsed/>
    <w:rsid w:val="0097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97173E"/>
    <w:rPr>
      <w:rFonts w:ascii="Calibri" w:hAnsi="Calibri"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97173E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7173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7173E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7173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97173E"/>
    <w:rPr>
      <w:rFonts w:ascii="Calibri" w:hAnsi="Calibri"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7173E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97173E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17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97173E"/>
    <w:rPr>
      <w:rFonts w:ascii="Calibri" w:hAnsi="Calibri"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97173E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97173E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97173E"/>
    <w:pPr>
      <w:spacing w:after="200" w:line="276" w:lineRule="auto"/>
    </w:pPr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97173E"/>
    <w:pPr>
      <w:spacing w:after="200" w:line="276" w:lineRule="auto"/>
    </w:pPr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97173E"/>
    <w:pPr>
      <w:spacing w:after="200" w:line="276" w:lineRule="auto"/>
    </w:pPr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97173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97173E"/>
    <w:pPr>
      <w:spacing w:after="200" w:line="276" w:lineRule="auto"/>
    </w:pPr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97173E"/>
    <w:pPr>
      <w:spacing w:after="200" w:line="276" w:lineRule="auto"/>
    </w:pPr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97173E"/>
    <w:pPr>
      <w:spacing w:after="200" w:line="276" w:lineRule="auto"/>
    </w:pPr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97173E"/>
    <w:pPr>
      <w:spacing w:after="200" w:line="276" w:lineRule="auto"/>
    </w:pPr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97173E"/>
    <w:pPr>
      <w:spacing w:after="200" w:line="276" w:lineRule="auto"/>
    </w:pPr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97173E"/>
    <w:pPr>
      <w:spacing w:after="200" w:line="276" w:lineRule="auto"/>
    </w:pPr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97173E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97173E"/>
    <w:pPr>
      <w:spacing w:after="200" w:line="276" w:lineRule="auto"/>
    </w:pPr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97173E"/>
    <w:pPr>
      <w:spacing w:after="200" w:line="276" w:lineRule="auto"/>
    </w:pPr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97173E"/>
    <w:pPr>
      <w:spacing w:after="200" w:line="276" w:lineRule="auto"/>
    </w:pPr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7173E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97173E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97173E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7173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97173E"/>
    <w:rPr>
      <w:rFonts w:ascii="Calibri" w:hAnsi="Calibri"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173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97173E"/>
    <w:rPr>
      <w:rFonts w:eastAsiaTheme="minorEastAsia" w:cs="Times New Roman"/>
      <w:color w:val="5A5A5A" w:themeColor="text1" w:themeTint="A5"/>
      <w:spacing w:val="15"/>
      <w:lang w:val="da-DK" w:eastAsia="x-none"/>
    </w:rPr>
  </w:style>
  <w:style w:type="paragraph" w:styleId="Korrektur">
    <w:name w:val="Revision"/>
    <w:hidden/>
    <w:uiPriority w:val="99"/>
    <w:semiHidden/>
    <w:rsid w:val="000C421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til bevis for overbygning til 2-årig hf</vt:lpstr>
    </vt:vector>
  </TitlesOfParts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overbygning til 2-årig hf</dc:title>
  <dc:subject/>
  <dc:creator>Undervisningsministeriet</dc:creator>
  <cp:keywords/>
  <dc:description/>
  <cp:revision>3</cp:revision>
  <dcterms:created xsi:type="dcterms:W3CDTF">2026-07-01T09:35:00Z</dcterms:created>
  <dcterms:modified xsi:type="dcterms:W3CDTF">2026-07-01T09:36:00Z</dcterms:modified>
</cp:coreProperties>
</file>