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A7" w:rsidRPr="00096657" w:rsidRDefault="004F38A7" w:rsidP="00701DF0">
      <w:pPr>
        <w:rPr>
          <w:lang w:eastAsia="da-DK"/>
        </w:rPr>
      </w:pPr>
      <w:r w:rsidRPr="00096657">
        <w:rPr>
          <w:lang w:eastAsia="da-DK"/>
        </w:rPr>
        <w:t>Overbygningen til</w:t>
      </w:r>
      <w:r w:rsidRPr="00096657">
        <w:rPr>
          <w:bCs/>
        </w:rPr>
        <w:t xml:space="preserve"> hf-eksamen (2-årig hf)</w:t>
      </w:r>
      <w:r w:rsidR="007851A4" w:rsidRPr="00096657">
        <w:rPr>
          <w:bCs/>
        </w:rPr>
        <w:t xml:space="preserve"> </w:t>
      </w:r>
      <w:r w:rsidRPr="00096657">
        <w:rPr>
          <w:lang w:eastAsia="da-DK"/>
        </w:rPr>
        <w:t>forudsætter en bestået</w:t>
      </w:r>
      <w:r w:rsidR="007851A4" w:rsidRPr="00096657">
        <w:rPr>
          <w:lang w:eastAsia="da-DK"/>
        </w:rPr>
        <w:t xml:space="preserve"> hf-eksamen</w:t>
      </w:r>
      <w:r w:rsidRPr="00096657">
        <w:rPr>
          <w:lang w:eastAsia="da-DK"/>
        </w:rPr>
        <w:t xml:space="preserve">, der er påbegyndt den 1. august 2017 eller herefter. </w:t>
      </w:r>
      <w:r w:rsidR="007851A4" w:rsidRPr="00096657">
        <w:rPr>
          <w:lang w:eastAsia="da-DK"/>
        </w:rPr>
        <w:t xml:space="preserve">Bevis for hf-eksamen </w:t>
      </w:r>
      <w:r w:rsidR="003B3524" w:rsidRPr="00096657">
        <w:rPr>
          <w:lang w:eastAsia="da-DK"/>
        </w:rPr>
        <w:t xml:space="preserve">(2-årig hf) </w:t>
      </w:r>
      <w:r w:rsidRPr="00096657">
        <w:rPr>
          <w:lang w:eastAsia="da-DK"/>
        </w:rPr>
        <w:t>kombineret med</w:t>
      </w:r>
      <w:r w:rsidR="007851A4" w:rsidRPr="00096657">
        <w:rPr>
          <w:lang w:eastAsia="da-DK"/>
        </w:rPr>
        <w:t xml:space="preserve"> </w:t>
      </w:r>
      <w:r w:rsidR="003B3524" w:rsidRPr="00096657">
        <w:rPr>
          <w:lang w:eastAsia="da-DK"/>
        </w:rPr>
        <w:t xml:space="preserve">bevis for </w:t>
      </w:r>
      <w:r w:rsidR="007851A4" w:rsidRPr="00096657">
        <w:rPr>
          <w:lang w:eastAsia="da-DK"/>
        </w:rPr>
        <w:t xml:space="preserve">overbygning til hf-eksamen </w:t>
      </w:r>
      <w:r w:rsidRPr="00096657">
        <w:rPr>
          <w:lang w:eastAsia="da-DK"/>
        </w:rPr>
        <w:t>er placeret på niveau 4 i den danske</w:t>
      </w:r>
      <w:bookmarkStart w:id="0" w:name="_GoBack"/>
      <w:bookmarkEnd w:id="0"/>
      <w:r w:rsidRPr="00096657">
        <w:rPr>
          <w:lang w:eastAsia="da-DK"/>
        </w:rPr>
        <w:t xml:space="preserve"> nationale kvalifikationsramme, jf. </w:t>
      </w:r>
      <w:r w:rsidRPr="00096657">
        <w:t>Uddannelses- og Forskningsministeriets</w:t>
      </w:r>
      <w:r w:rsidRPr="00096657">
        <w:rPr>
          <w:lang w:eastAsia="da-DK"/>
        </w:rPr>
        <w:t xml:space="preserve"> ”Kvalifikationsrammen for Livslang Læring”.</w:t>
      </w:r>
      <w:r w:rsidR="007851A4" w:rsidRPr="00096657">
        <w:rPr>
          <w:lang w:eastAsia="da-DK"/>
        </w:rPr>
        <w:t xml:space="preserve"> Bevis for hf-eksamen </w:t>
      </w:r>
      <w:r w:rsidR="003B3524" w:rsidRPr="00096657">
        <w:rPr>
          <w:lang w:eastAsia="da-DK"/>
        </w:rPr>
        <w:t xml:space="preserve">(2-årig hf) </w:t>
      </w:r>
      <w:r w:rsidR="007851A4" w:rsidRPr="00096657">
        <w:rPr>
          <w:lang w:eastAsia="da-DK"/>
        </w:rPr>
        <w:t xml:space="preserve">kombineret med </w:t>
      </w:r>
      <w:r w:rsidR="003B3524" w:rsidRPr="00096657">
        <w:rPr>
          <w:lang w:eastAsia="da-DK"/>
        </w:rPr>
        <w:t xml:space="preserve">bevis for </w:t>
      </w:r>
      <w:r w:rsidR="007851A4" w:rsidRPr="00096657">
        <w:rPr>
          <w:lang w:eastAsia="da-DK"/>
        </w:rPr>
        <w:t xml:space="preserve">overbygning til hf-eksamen </w:t>
      </w:r>
      <w:r w:rsidRPr="00096657">
        <w:rPr>
          <w:lang w:eastAsia="da-DK"/>
        </w:rPr>
        <w:t xml:space="preserve">giver generel studiekompetence, herunder adgang til optagelse på universitetsbacheloruddannelser.  </w:t>
      </w:r>
    </w:p>
    <w:p w:rsidR="004F38A7" w:rsidRPr="00712B42" w:rsidRDefault="004F38A7" w:rsidP="00701DF0">
      <w:pPr>
        <w:rPr>
          <w:rFonts w:ascii="Segoe UI" w:hAnsi="Segoe UI" w:cs="Segoe UI"/>
          <w:sz w:val="19"/>
          <w:szCs w:val="19"/>
          <w:lang w:eastAsia="da-DK"/>
        </w:rPr>
      </w:pPr>
    </w:p>
    <w:p w:rsidR="004F38A7" w:rsidRPr="00096657" w:rsidRDefault="004F38A7" w:rsidP="00096657">
      <w:pPr>
        <w:pStyle w:val="Overskrift1"/>
        <w:rPr>
          <w:sz w:val="24"/>
          <w:lang w:eastAsia="da-DK"/>
        </w:rPr>
      </w:pPr>
      <w:r w:rsidRPr="00096657">
        <w:rPr>
          <w:sz w:val="24"/>
        </w:rPr>
        <w:t xml:space="preserve">Betingelserne for at </w:t>
      </w:r>
      <w:r w:rsidR="007851A4" w:rsidRPr="00096657">
        <w:rPr>
          <w:sz w:val="24"/>
        </w:rPr>
        <w:t xml:space="preserve">opnå et </w:t>
      </w:r>
      <w:r w:rsidR="007851A4" w:rsidRPr="00096657">
        <w:rPr>
          <w:sz w:val="24"/>
          <w:lang w:eastAsia="da-DK"/>
        </w:rPr>
        <w:t xml:space="preserve">bevis for hf-eksamen </w:t>
      </w:r>
      <w:r w:rsidR="003B3524" w:rsidRPr="00096657">
        <w:rPr>
          <w:sz w:val="24"/>
          <w:lang w:eastAsia="da-DK"/>
        </w:rPr>
        <w:t>(2-årig</w:t>
      </w:r>
      <w:r w:rsidR="0097173E" w:rsidRPr="00096657">
        <w:rPr>
          <w:sz w:val="24"/>
          <w:lang w:eastAsia="da-DK"/>
        </w:rPr>
        <w:t xml:space="preserve"> hf</w:t>
      </w:r>
      <w:r w:rsidR="003B3524" w:rsidRPr="00096657">
        <w:rPr>
          <w:sz w:val="24"/>
          <w:lang w:eastAsia="da-DK"/>
        </w:rPr>
        <w:t xml:space="preserve">) </w:t>
      </w:r>
      <w:r w:rsidR="0097173E" w:rsidRPr="00096657">
        <w:rPr>
          <w:sz w:val="24"/>
          <w:lang w:eastAsia="da-DK"/>
        </w:rPr>
        <w:t xml:space="preserve">samt </w:t>
      </w:r>
      <w:r w:rsidR="003B3524" w:rsidRPr="00096657">
        <w:rPr>
          <w:sz w:val="24"/>
          <w:lang w:eastAsia="da-DK"/>
        </w:rPr>
        <w:t xml:space="preserve">bevis for </w:t>
      </w:r>
      <w:r w:rsidR="007851A4" w:rsidRPr="00096657">
        <w:rPr>
          <w:sz w:val="24"/>
          <w:lang w:eastAsia="da-DK"/>
        </w:rPr>
        <w:t xml:space="preserve">overbygning til hf-eksamen </w:t>
      </w:r>
      <w:r w:rsidRPr="00096657">
        <w:rPr>
          <w:sz w:val="24"/>
        </w:rPr>
        <w:t xml:space="preserve">er fastsat i </w:t>
      </w:r>
      <w:r w:rsidRPr="00096657">
        <w:rPr>
          <w:sz w:val="24"/>
          <w:lang w:eastAsia="da-DK"/>
        </w:rPr>
        <w:t>følgende love og bekendtgørelser med senere ændringer:</w:t>
      </w:r>
    </w:p>
    <w:p w:rsidR="00851874" w:rsidRPr="00712B42" w:rsidRDefault="00851874" w:rsidP="004F38A7">
      <w:pPr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851874" w:rsidRPr="00712B42" w:rsidRDefault="00851874" w:rsidP="00712B42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sz w:val="19"/>
          <w:szCs w:val="19"/>
          <w:lang w:eastAsia="da-DK"/>
        </w:rPr>
      </w:pPr>
      <w:r w:rsidRPr="00712B42">
        <w:rPr>
          <w:rFonts w:ascii="Segoe UI" w:hAnsi="Segoe UI" w:cs="Segoe UI"/>
          <w:sz w:val="19"/>
          <w:szCs w:val="19"/>
          <w:lang w:eastAsia="da-DK"/>
        </w:rPr>
        <w:t xml:space="preserve">Lovbekendtgørelse nr. </w:t>
      </w:r>
      <w:r w:rsidR="001C6B86" w:rsidRPr="00712B42">
        <w:rPr>
          <w:rFonts w:ascii="Segoe UI" w:hAnsi="Segoe UI" w:cs="Segoe UI"/>
          <w:sz w:val="19"/>
          <w:szCs w:val="19"/>
          <w:lang w:eastAsia="da-DK"/>
        </w:rPr>
        <w:t>41 af 12/01/2024</w:t>
      </w:r>
      <w:r w:rsidR="00712B42" w:rsidRPr="00712B42">
        <w:rPr>
          <w:rFonts w:ascii="Segoe UI" w:hAnsi="Segoe UI" w:cs="Segoe UI"/>
          <w:sz w:val="19"/>
          <w:szCs w:val="19"/>
          <w:lang w:eastAsia="da-DK"/>
        </w:rPr>
        <w:t xml:space="preserve"> </w:t>
      </w:r>
      <w:r w:rsidRPr="00712B42">
        <w:rPr>
          <w:rFonts w:ascii="Segoe UI" w:hAnsi="Segoe UI" w:cs="Segoe UI"/>
          <w:sz w:val="19"/>
          <w:szCs w:val="19"/>
          <w:lang w:eastAsia="da-DK"/>
        </w:rPr>
        <w:t>om de gymnasiale uddannelser.</w:t>
      </w:r>
    </w:p>
    <w:p w:rsidR="00851874" w:rsidRPr="00712B42" w:rsidRDefault="00851874" w:rsidP="00851874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>Bekendtgørelse nr. 343 af 08/04/2016 om prøver og eksamen i de almene og studieforberedende ungdoms- og voksenuddannelser (den almene eksamensbekendtgørelse).</w:t>
      </w:r>
    </w:p>
    <w:p w:rsidR="00851874" w:rsidRPr="00712B42" w:rsidRDefault="00851874" w:rsidP="00851874">
      <w:pPr>
        <w:pStyle w:val="Opstilling-punkttegn"/>
        <w:numPr>
          <w:ilvl w:val="0"/>
          <w:numId w:val="33"/>
        </w:numPr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 xml:space="preserve">Bekendtgørelse nr. 262 af 20/03/2007 om karakterskala og anden bedømmelse (karakterskala-bekendtgørelsen). </w:t>
      </w:r>
    </w:p>
    <w:p w:rsidR="00851874" w:rsidRPr="00712B42" w:rsidRDefault="00851874" w:rsidP="00851874">
      <w:pPr>
        <w:pStyle w:val="Opstilling-punkttegn"/>
        <w:numPr>
          <w:ilvl w:val="0"/>
          <w:numId w:val="33"/>
        </w:numPr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>Bekendtgørelse nr. 1276 af 27/11/2017 om visse regler om prøver og eksamen i de gymnasiale uddannelser.</w:t>
      </w:r>
    </w:p>
    <w:p w:rsidR="00851874" w:rsidRPr="00712B42" w:rsidRDefault="00851874" w:rsidP="00851874">
      <w:pPr>
        <w:pStyle w:val="Opstilling-punkttegn"/>
        <w:numPr>
          <w:ilvl w:val="0"/>
          <w:numId w:val="33"/>
        </w:numPr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>Bekendtgørelse nr. 224 af 19/03/2018 om adgangen til at medbringe og anvende udstyr, herunder digitale hjælpemidler, under prøver i de gymnasiale uddannelser.</w:t>
      </w:r>
    </w:p>
    <w:p w:rsidR="00851874" w:rsidRPr="00712B42" w:rsidRDefault="00851874" w:rsidP="00851874">
      <w:pPr>
        <w:pStyle w:val="Opstilling-punkttegn"/>
        <w:numPr>
          <w:ilvl w:val="0"/>
          <w:numId w:val="33"/>
        </w:numPr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  <w:lang w:eastAsia="da-DK"/>
        </w:rPr>
        <w:t xml:space="preserve">Bekendtgørelse </w:t>
      </w:r>
      <w:r w:rsidRPr="00712B42">
        <w:rPr>
          <w:rFonts w:ascii="Segoe UI" w:hAnsi="Segoe UI" w:cs="Segoe UI"/>
          <w:color w:val="000000"/>
          <w:sz w:val="19"/>
          <w:szCs w:val="19"/>
          <w:lang w:eastAsia="da-DK"/>
        </w:rPr>
        <w:t>nr. 497 af 18/05/2017</w:t>
      </w:r>
      <w:r w:rsidRPr="00712B42">
        <w:rPr>
          <w:rFonts w:ascii="Segoe UI" w:hAnsi="Segoe UI" w:cs="Segoe UI"/>
          <w:sz w:val="19"/>
          <w:szCs w:val="19"/>
          <w:lang w:eastAsia="da-DK"/>
        </w:rPr>
        <w:t xml:space="preserve"> om de gymnasiale uddannelser.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Style w:val="kortnavn2"/>
          <w:rFonts w:ascii="Segoe UI" w:hAnsi="Segoe UI" w:cs="Segoe UI"/>
          <w:sz w:val="19"/>
          <w:szCs w:val="19"/>
          <w:lang w:eastAsia="en-US"/>
        </w:rPr>
      </w:pPr>
      <w:r w:rsidRPr="00712B42">
        <w:rPr>
          <w:rStyle w:val="kortnavn2"/>
          <w:rFonts w:ascii="Segoe UI" w:hAnsi="Segoe UI" w:cs="Segoe UI"/>
          <w:sz w:val="19"/>
          <w:szCs w:val="19"/>
          <w:lang w:eastAsia="en-US"/>
        </w:rPr>
        <w:t xml:space="preserve">Bekendtgørelse nr. 527 af 02/05/2019 om gymnasial supplering. </w:t>
      </w:r>
    </w:p>
    <w:p w:rsidR="00851874" w:rsidRPr="00096657" w:rsidRDefault="00851874" w:rsidP="00851874">
      <w:pPr>
        <w:pStyle w:val="Opstilling-punkttegn"/>
        <w:numPr>
          <w:ilvl w:val="0"/>
          <w:numId w:val="0"/>
        </w:numPr>
        <w:spacing w:after="0" w:line="240" w:lineRule="auto"/>
        <w:ind w:left="720"/>
        <w:rPr>
          <w:rFonts w:ascii="Segoe UI" w:hAnsi="Segoe UI" w:cs="Segoe UI"/>
          <w:sz w:val="16"/>
          <w:szCs w:val="19"/>
        </w:rPr>
      </w:pPr>
    </w:p>
    <w:p w:rsidR="004F38A7" w:rsidRPr="00096657" w:rsidRDefault="004F38A7" w:rsidP="00096657">
      <w:pPr>
        <w:pStyle w:val="Overskrift1"/>
        <w:rPr>
          <w:sz w:val="24"/>
        </w:rPr>
      </w:pPr>
      <w:r w:rsidRPr="00096657">
        <w:rPr>
          <w:sz w:val="24"/>
        </w:rPr>
        <w:t>Beskrivelse af de enkelte karakterer, jf. karakterskalabekendtgørelsen:</w:t>
      </w:r>
    </w:p>
    <w:p w:rsidR="00712B42" w:rsidRPr="00712B42" w:rsidRDefault="00712B42" w:rsidP="004F38A7">
      <w:pPr>
        <w:pStyle w:val="Ingenafstand"/>
        <w:rPr>
          <w:rFonts w:ascii="Segoe UI" w:hAnsi="Segoe UI" w:cs="Segoe UI"/>
          <w:sz w:val="19"/>
          <w:szCs w:val="19"/>
        </w:rPr>
      </w:pP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>12 gives for den fremragende præstation, der demonstrerer udtømmende opfyldelse af fagets mål, med ingen eller få uvæsentlige mangler.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>10 gives for den fortrinlige præstation, der demonstrerer omfattende opfyldelse af fagets mål, med nogle mindre væsentlige mangler.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>7 gives for den gode præstation, der demonstrerer opfyldelse af fagets mål, med en del mangler.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>4 gives for den jævne præstation, der demonstrerer en mindre grad af opfyldelse af fagets mål, med adskillige væsentlige mangler.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 xml:space="preserve">02 gives for den tilstrækkelige præstation, der demonstrerer den minimalt acceptable grad af opfyldelse af fagets mål. 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>00 gives for den utilstrækkelige præstation, der ikke demonstrerer en acceptabel grad af opfyldelse af fagets mål.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712B42">
        <w:rPr>
          <w:rFonts w:ascii="Segoe UI" w:hAnsi="Segoe UI" w:cs="Segoe UI"/>
          <w:sz w:val="19"/>
          <w:szCs w:val="19"/>
        </w:rPr>
        <w:t>-3 gives for den helt uacceptable præstation.</w:t>
      </w:r>
    </w:p>
    <w:p w:rsidR="004F38A7" w:rsidRPr="00712B42" w:rsidRDefault="004F38A7" w:rsidP="004F38A7">
      <w:pPr>
        <w:pStyle w:val="Ingenafstand"/>
        <w:rPr>
          <w:rFonts w:ascii="Segoe UI" w:hAnsi="Segoe UI" w:cs="Segoe UI"/>
          <w:sz w:val="19"/>
          <w:szCs w:val="19"/>
        </w:rPr>
      </w:pPr>
    </w:p>
    <w:p w:rsidR="004F38A7" w:rsidRPr="00096657" w:rsidRDefault="004F38A7" w:rsidP="00096657">
      <w:pPr>
        <w:pStyle w:val="Overskrift1"/>
        <w:rPr>
          <w:sz w:val="24"/>
          <w:lang w:val="en-US"/>
        </w:rPr>
      </w:pPr>
      <w:r w:rsidRPr="00096657">
        <w:rPr>
          <w:sz w:val="24"/>
          <w:lang w:val="en-US"/>
        </w:rPr>
        <w:t xml:space="preserve">The grades </w:t>
      </w:r>
      <w:proofErr w:type="gramStart"/>
      <w:r w:rsidRPr="00096657">
        <w:rPr>
          <w:sz w:val="24"/>
          <w:lang w:val="en-US"/>
        </w:rPr>
        <w:t>are described</w:t>
      </w:r>
      <w:proofErr w:type="gramEnd"/>
      <w:r w:rsidRPr="00096657">
        <w:rPr>
          <w:sz w:val="24"/>
          <w:lang w:val="en-US"/>
        </w:rPr>
        <w:t xml:space="preserve"> as follows:</w:t>
      </w:r>
    </w:p>
    <w:p w:rsidR="00712B42" w:rsidRPr="00712B42" w:rsidRDefault="00712B42" w:rsidP="004F38A7">
      <w:pPr>
        <w:pStyle w:val="Ingenafstand"/>
        <w:rPr>
          <w:rFonts w:ascii="Segoe UI" w:hAnsi="Segoe UI" w:cs="Segoe UI"/>
          <w:sz w:val="19"/>
          <w:szCs w:val="19"/>
          <w:lang w:val="en-US"/>
        </w:rPr>
      </w:pP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712B42">
        <w:rPr>
          <w:rFonts w:ascii="Segoe UI" w:hAnsi="Segoe UI" w:cs="Segoe UI"/>
          <w:sz w:val="19"/>
          <w:szCs w:val="19"/>
          <w:lang w:val="en-US"/>
        </w:rPr>
        <w:t>12</w:t>
      </w:r>
      <w:proofErr w:type="gramEnd"/>
      <w:r w:rsidRPr="00712B42">
        <w:rPr>
          <w:rFonts w:ascii="Segoe UI" w:hAnsi="Segoe UI" w:cs="Segoe UI"/>
          <w:sz w:val="19"/>
          <w:szCs w:val="19"/>
          <w:lang w:val="en-US"/>
        </w:rPr>
        <w:t xml:space="preserve">: For an excellent performance displaying a high level of command of all aspects of the relevant material, with no or only a few minor weaknesses. 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712B42">
        <w:rPr>
          <w:rFonts w:ascii="Segoe UI" w:hAnsi="Segoe UI" w:cs="Segoe UI"/>
          <w:sz w:val="19"/>
          <w:szCs w:val="19"/>
          <w:lang w:val="en-US"/>
        </w:rPr>
        <w:t>10</w:t>
      </w:r>
      <w:proofErr w:type="gramEnd"/>
      <w:r w:rsidRPr="00712B42">
        <w:rPr>
          <w:rFonts w:ascii="Segoe UI" w:hAnsi="Segoe UI" w:cs="Segoe UI"/>
          <w:sz w:val="19"/>
          <w:szCs w:val="19"/>
          <w:lang w:val="en-US"/>
        </w:rPr>
        <w:t>: For a very good performance displaying a high level of command of most aspects of the relevant material, with only minor weaknesses.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712B42">
        <w:rPr>
          <w:rFonts w:ascii="Segoe UI" w:hAnsi="Segoe UI" w:cs="Segoe UI"/>
          <w:sz w:val="19"/>
          <w:szCs w:val="19"/>
          <w:lang w:val="en-US"/>
        </w:rPr>
        <w:t>7</w:t>
      </w:r>
      <w:proofErr w:type="gramEnd"/>
      <w:r w:rsidRPr="00712B42">
        <w:rPr>
          <w:rFonts w:ascii="Segoe UI" w:hAnsi="Segoe UI" w:cs="Segoe UI"/>
          <w:sz w:val="19"/>
          <w:szCs w:val="19"/>
          <w:lang w:val="en-US"/>
        </w:rPr>
        <w:t xml:space="preserve">: For a good performance displaying good command of the relevant material but also some weaknesses. 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712B42">
        <w:rPr>
          <w:rFonts w:ascii="Segoe UI" w:hAnsi="Segoe UI" w:cs="Segoe UI"/>
          <w:sz w:val="19"/>
          <w:szCs w:val="19"/>
          <w:lang w:val="en-US"/>
        </w:rPr>
        <w:t>4</w:t>
      </w:r>
      <w:proofErr w:type="gramEnd"/>
      <w:r w:rsidRPr="00712B42">
        <w:rPr>
          <w:rFonts w:ascii="Segoe UI" w:hAnsi="Segoe UI" w:cs="Segoe UI"/>
          <w:sz w:val="19"/>
          <w:szCs w:val="19"/>
          <w:lang w:val="en-US"/>
        </w:rPr>
        <w:t>: For a fair performance displaying some command of the relevant material but also some major weaknesses.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712B42">
        <w:rPr>
          <w:rFonts w:ascii="Segoe UI" w:hAnsi="Segoe UI" w:cs="Segoe UI"/>
          <w:sz w:val="19"/>
          <w:szCs w:val="19"/>
          <w:lang w:val="en-US"/>
        </w:rPr>
        <w:t>02</w:t>
      </w:r>
      <w:proofErr w:type="gramEnd"/>
      <w:r w:rsidRPr="00712B42">
        <w:rPr>
          <w:rFonts w:ascii="Segoe UI" w:hAnsi="Segoe UI" w:cs="Segoe UI"/>
          <w:sz w:val="19"/>
          <w:szCs w:val="19"/>
          <w:lang w:val="en-US"/>
        </w:rPr>
        <w:t xml:space="preserve">: For a performance meeting only the minimum requirements for acceptance. </w:t>
      </w:r>
    </w:p>
    <w:p w:rsidR="004F38A7" w:rsidRPr="00712B42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712B42">
        <w:rPr>
          <w:rFonts w:ascii="Segoe UI" w:hAnsi="Segoe UI" w:cs="Segoe UI"/>
          <w:sz w:val="19"/>
          <w:szCs w:val="19"/>
          <w:lang w:val="en-US"/>
        </w:rPr>
        <w:t>00</w:t>
      </w:r>
      <w:proofErr w:type="gramEnd"/>
      <w:r w:rsidRPr="00712B42">
        <w:rPr>
          <w:rFonts w:ascii="Segoe UI" w:hAnsi="Segoe UI" w:cs="Segoe UI"/>
          <w:sz w:val="19"/>
          <w:szCs w:val="19"/>
          <w:lang w:val="en-US"/>
        </w:rPr>
        <w:t>: For a performance which does not meet the minimum requirements for acceptance.</w:t>
      </w:r>
    </w:p>
    <w:p w:rsidR="00DC0AF3" w:rsidRPr="00712B42" w:rsidRDefault="004F38A7" w:rsidP="00851874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712B42">
        <w:rPr>
          <w:rFonts w:ascii="Segoe UI" w:hAnsi="Segoe UI" w:cs="Segoe UI"/>
          <w:sz w:val="19"/>
          <w:szCs w:val="19"/>
          <w:lang w:val="en-US"/>
        </w:rPr>
        <w:t>-3</w:t>
      </w:r>
      <w:proofErr w:type="gramEnd"/>
      <w:r w:rsidRPr="00712B42">
        <w:rPr>
          <w:rFonts w:ascii="Segoe UI" w:hAnsi="Segoe UI" w:cs="Segoe UI"/>
          <w:sz w:val="19"/>
          <w:szCs w:val="19"/>
          <w:lang w:val="en-US"/>
        </w:rPr>
        <w:t>: For a performance which is unacceptable in all respects.</w:t>
      </w:r>
    </w:p>
    <w:sectPr w:rsidR="00DC0AF3" w:rsidRPr="00712B42" w:rsidSect="00851874">
      <w:pgSz w:w="12240" w:h="15840"/>
      <w:pgMar w:top="1134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2422B8"/>
    <w:lvl w:ilvl="0">
      <w:start w:val="1"/>
      <w:numFmt w:val="decimal"/>
      <w:pStyle w:val="Opstilling-talellerbogst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02C070"/>
    <w:lvl w:ilvl="0">
      <w:start w:val="1"/>
      <w:numFmt w:val="decimal"/>
      <w:pStyle w:val="Opstilling-talellerbogs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2CB764"/>
    <w:lvl w:ilvl="0">
      <w:start w:val="1"/>
      <w:numFmt w:val="decimal"/>
      <w:pStyle w:val="Opstilling-punkttegn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8166A44"/>
    <w:lvl w:ilvl="0">
      <w:start w:val="1"/>
      <w:numFmt w:val="decimal"/>
      <w:pStyle w:val="Opstilling-punkttegn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ADEBF42"/>
    <w:lvl w:ilvl="0">
      <w:start w:val="1"/>
      <w:numFmt w:val="bullet"/>
      <w:pStyle w:val="Opstilling-punkttegn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7E5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324C3E"/>
    <w:lvl w:ilvl="0">
      <w:start w:val="1"/>
      <w:numFmt w:val="bullet"/>
      <w:pStyle w:val="Opstilling-talellerbogst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861458"/>
    <w:lvl w:ilvl="0">
      <w:start w:val="1"/>
      <w:numFmt w:val="bullet"/>
      <w:pStyle w:val="Opstilling-punkttegn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C2DF7E"/>
    <w:lvl w:ilvl="0">
      <w:start w:val="1"/>
      <w:numFmt w:val="decimal"/>
      <w:pStyle w:val="Opstilling-punkttegn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289600"/>
    <w:lvl w:ilvl="0">
      <w:start w:val="1"/>
      <w:numFmt w:val="bullet"/>
      <w:pStyle w:val="Opstilling-talellerbog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9"/>
  </w:num>
  <w:num w:numId="33">
    <w:abstractNumId w:val="9"/>
  </w:num>
  <w:num w:numId="34">
    <w:abstractNumId w:val="10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7"/>
    <w:rsid w:val="00096657"/>
    <w:rsid w:val="001C6B86"/>
    <w:rsid w:val="003B3524"/>
    <w:rsid w:val="003D6F37"/>
    <w:rsid w:val="004D25D3"/>
    <w:rsid w:val="004F38A7"/>
    <w:rsid w:val="00560541"/>
    <w:rsid w:val="00701DF0"/>
    <w:rsid w:val="007106DC"/>
    <w:rsid w:val="00712B42"/>
    <w:rsid w:val="007851A4"/>
    <w:rsid w:val="007A14C6"/>
    <w:rsid w:val="00851874"/>
    <w:rsid w:val="0097173E"/>
    <w:rsid w:val="00B51379"/>
    <w:rsid w:val="00CC3BE1"/>
    <w:rsid w:val="00CF6229"/>
    <w:rsid w:val="00D30644"/>
    <w:rsid w:val="00D406E4"/>
    <w:rsid w:val="00DB0F6E"/>
    <w:rsid w:val="00D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C1FB94-7C24-4955-A5CC-75C39E68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8A7"/>
    <w:pPr>
      <w:spacing w:after="200" w:line="276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7173E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173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173E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173E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173E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173E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173E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173E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173E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97173E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97173E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97173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97173E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97173E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97173E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97173E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97173E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97173E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rsid w:val="004F38A7"/>
    <w:rPr>
      <w:rFonts w:ascii="Tahoma" w:hAnsi="Tahoma"/>
      <w:color w:val="000000"/>
      <w:sz w:val="24"/>
      <w:shd w:val="clear" w:color="auto" w:fill="auto"/>
      <w:lang w:val="da-DK" w:eastAsia="x-none"/>
    </w:rPr>
  </w:style>
  <w:style w:type="paragraph" w:styleId="Ingenafstand">
    <w:name w:val="No Spacing"/>
    <w:uiPriority w:val="1"/>
    <w:qFormat/>
    <w:rsid w:val="004F38A7"/>
    <w:pPr>
      <w:spacing w:after="0" w:line="240" w:lineRule="auto"/>
    </w:pPr>
    <w:rPr>
      <w:rFonts w:ascii="Calibri" w:hAnsi="Calibri" w:cs="Times New Roman"/>
    </w:rPr>
  </w:style>
  <w:style w:type="paragraph" w:styleId="Opstilling-punkttegn">
    <w:name w:val="List Bullet"/>
    <w:basedOn w:val="Normal"/>
    <w:uiPriority w:val="99"/>
    <w:unhideWhenUsed/>
    <w:rsid w:val="004F38A7"/>
    <w:pPr>
      <w:numPr>
        <w:numId w:val="2"/>
      </w:numPr>
      <w:tabs>
        <w:tab w:val="clear" w:pos="643"/>
        <w:tab w:val="num" w:pos="360"/>
      </w:tabs>
      <w:ind w:left="36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B3524"/>
    <w:rPr>
      <w:rFonts w:cs="Times New Roman"/>
      <w:sz w:val="16"/>
      <w:szCs w:val="16"/>
      <w:lang w:val="da-DK" w:eastAsia="x-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B35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3B3524"/>
    <w:rPr>
      <w:rFonts w:ascii="Calibri" w:hAnsi="Calibri"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B35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3B3524"/>
    <w:rPr>
      <w:rFonts w:ascii="Calibri" w:hAnsi="Calibri" w:cs="Times New Roman"/>
      <w:b/>
      <w:bCs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3B3524"/>
    <w:rPr>
      <w:rFonts w:ascii="Segoe UI" w:hAnsi="Segoe UI" w:cs="Segoe UI"/>
      <w:sz w:val="18"/>
      <w:szCs w:val="18"/>
      <w:lang w:val="da-DK" w:eastAsia="x-none"/>
    </w:rPr>
  </w:style>
  <w:style w:type="paragraph" w:styleId="Afsenderadresse">
    <w:name w:val="envelope return"/>
    <w:basedOn w:val="Normal"/>
    <w:uiPriority w:val="99"/>
    <w:semiHidden/>
    <w:unhideWhenUsed/>
    <w:rsid w:val="0097173E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717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97173E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97173E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97173E"/>
  </w:style>
  <w:style w:type="paragraph" w:styleId="Billedtekst">
    <w:name w:val="caption"/>
    <w:basedOn w:val="Normal"/>
    <w:next w:val="Normal"/>
    <w:uiPriority w:val="35"/>
    <w:semiHidden/>
    <w:unhideWhenUsed/>
    <w:qFormat/>
    <w:rsid w:val="0097173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7173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97173E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717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97173E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97173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7173E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7173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7173E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7173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7173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97173E"/>
    <w:rPr>
      <w:rFonts w:ascii="Calibri" w:hAnsi="Calibri"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7173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7173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97173E"/>
    <w:rPr>
      <w:rFonts w:ascii="Calibri" w:hAnsi="Calibri"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9717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97173E"/>
    <w:rPr>
      <w:rFonts w:ascii="Calibri" w:hAnsi="Calibri"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7173E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7173E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7173E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7173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97173E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7173E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7173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97173E"/>
    <w:rPr>
      <w:rFonts w:ascii="Calibri" w:hAnsi="Calibri"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717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97173E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97173E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7173E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7173E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7173E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7173E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7173E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7173E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7173E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7173E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7173E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7173E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7173E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7173E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97173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97173E"/>
    <w:rPr>
      <w:rFonts w:ascii="Calibri" w:hAnsi="Calibri"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97173E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97173E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97173E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97173E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97173E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97173E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97173E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97173E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97173E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7173E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7173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7173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7173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7173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7173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7173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7173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7173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7173E"/>
    <w:pPr>
      <w:spacing w:after="100"/>
      <w:ind w:left="1760"/>
    </w:pPr>
  </w:style>
  <w:style w:type="character" w:styleId="Kraftigfremhvning">
    <w:name w:val="Intense Emphasis"/>
    <w:basedOn w:val="Standardskrifttypeiafsnit"/>
    <w:uiPriority w:val="21"/>
    <w:qFormat/>
    <w:rsid w:val="0097173E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97173E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97173E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97173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717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717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717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7173E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7173E"/>
    <w:pPr>
      <w:spacing w:after="0"/>
    </w:pPr>
  </w:style>
  <w:style w:type="paragraph" w:styleId="Listeafsnit">
    <w:name w:val="List Paragraph"/>
    <w:basedOn w:val="Normal"/>
    <w:uiPriority w:val="34"/>
    <w:qFormat/>
    <w:rsid w:val="0097173E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7173E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7173E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7173E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7173E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7173E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7173E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7173E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7173E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7173E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7173E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7173E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7173E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97173E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97173E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97173E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7173E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7173E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7173E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7173E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7173E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9717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97173E"/>
    <w:rPr>
      <w:rFonts w:ascii="Consolas" w:hAnsi="Consolas" w:cs="Times New Roman"/>
      <w:sz w:val="20"/>
      <w:szCs w:val="20"/>
      <w:lang w:val="da-DK" w:eastAsia="x-none"/>
    </w:rPr>
  </w:style>
  <w:style w:type="table" w:styleId="Mediumgitter1">
    <w:name w:val="Medium Grid 1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7173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7173E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7173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7173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97173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7173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7173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7173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7173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7173E"/>
    <w:pPr>
      <w:numPr>
        <w:numId w:val="15"/>
      </w:numPr>
      <w:tabs>
        <w:tab w:val="num" w:pos="643"/>
      </w:tabs>
      <w:ind w:left="643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7173E"/>
    <w:pPr>
      <w:numPr>
        <w:numId w:val="16"/>
      </w:numPr>
      <w:tabs>
        <w:tab w:val="clear" w:pos="360"/>
        <w:tab w:val="num" w:pos="926"/>
      </w:tabs>
      <w:ind w:left="926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7173E"/>
    <w:pPr>
      <w:numPr>
        <w:numId w:val="17"/>
      </w:numPr>
      <w:tabs>
        <w:tab w:val="num" w:pos="1209"/>
      </w:tabs>
      <w:ind w:left="1209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7173E"/>
    <w:pPr>
      <w:numPr>
        <w:numId w:val="18"/>
      </w:numPr>
      <w:tabs>
        <w:tab w:val="num" w:pos="1492"/>
      </w:tabs>
      <w:ind w:left="1492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7173E"/>
    <w:pPr>
      <w:numPr>
        <w:numId w:val="19"/>
      </w:numPr>
      <w:ind w:left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7173E"/>
    <w:pPr>
      <w:numPr>
        <w:numId w:val="20"/>
      </w:numPr>
      <w:tabs>
        <w:tab w:val="num" w:pos="643"/>
      </w:tabs>
      <w:ind w:left="643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7173E"/>
    <w:pPr>
      <w:numPr>
        <w:numId w:val="21"/>
      </w:numPr>
      <w:tabs>
        <w:tab w:val="clear" w:pos="360"/>
        <w:tab w:val="num" w:pos="926"/>
      </w:tabs>
      <w:ind w:left="926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7173E"/>
    <w:pPr>
      <w:tabs>
        <w:tab w:val="num" w:pos="643"/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7173E"/>
    <w:pPr>
      <w:numPr>
        <w:numId w:val="23"/>
      </w:numPr>
      <w:tabs>
        <w:tab w:val="num" w:pos="1492"/>
      </w:tabs>
      <w:ind w:left="1492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7173E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97173E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semiHidden/>
    <w:unhideWhenUsed/>
    <w:rsid w:val="0097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semiHidden/>
    <w:unhideWhenUsed/>
    <w:rsid w:val="0097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97173E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7173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7173E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7173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97173E"/>
    <w:rPr>
      <w:rFonts w:ascii="Calibri" w:hAnsi="Calibri"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7173E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97173E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17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97173E"/>
    <w:rPr>
      <w:rFonts w:ascii="Calibri" w:hAnsi="Calibri"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97173E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97173E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97173E"/>
    <w:pPr>
      <w:spacing w:after="200" w:line="276" w:lineRule="auto"/>
    </w:pPr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97173E"/>
    <w:pPr>
      <w:spacing w:after="200" w:line="276" w:lineRule="auto"/>
    </w:pPr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97173E"/>
    <w:pPr>
      <w:spacing w:after="200" w:line="276" w:lineRule="auto"/>
    </w:pPr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97173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97173E"/>
    <w:pPr>
      <w:spacing w:after="200" w:line="276" w:lineRule="auto"/>
    </w:pPr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97173E"/>
    <w:pPr>
      <w:spacing w:after="200" w:line="276" w:lineRule="auto"/>
    </w:pPr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97173E"/>
    <w:pPr>
      <w:spacing w:after="200" w:line="276" w:lineRule="auto"/>
    </w:pPr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97173E"/>
    <w:pPr>
      <w:spacing w:after="200" w:line="276" w:lineRule="auto"/>
    </w:pPr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97173E"/>
    <w:pPr>
      <w:spacing w:after="200" w:line="276" w:lineRule="auto"/>
    </w:pPr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97173E"/>
    <w:pPr>
      <w:spacing w:after="200" w:line="276" w:lineRule="auto"/>
    </w:pPr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97173E"/>
    <w:pPr>
      <w:spacing w:after="200" w:line="276" w:lineRule="auto"/>
    </w:pPr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97173E"/>
    <w:pPr>
      <w:spacing w:after="200" w:line="276" w:lineRule="auto"/>
    </w:pPr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7173E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7173E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97173E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7173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173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97173E"/>
    <w:rPr>
      <w:rFonts w:eastAsiaTheme="minorEastAsia" w:cs="Times New Roman"/>
      <w:color w:val="5A5A5A" w:themeColor="text1" w:themeTint="A5"/>
      <w:spacing w:val="15"/>
      <w:lang w:val="da-D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2634</Characters>
  <Application>Microsoft Office Word</Application>
  <DocSecurity>0</DocSecurity>
  <Lines>47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overbygning til 2-årig hf</dc:title>
  <dc:subject/>
  <dc:creator>Brith Dalgaard Nielsen</dc:creator>
  <cp:keywords/>
  <dc:description/>
  <cp:lastModifiedBy>Anne Larsen Lindblom</cp:lastModifiedBy>
  <cp:revision>6</cp:revision>
  <dcterms:created xsi:type="dcterms:W3CDTF">2024-08-26T12:14:00Z</dcterms:created>
  <dcterms:modified xsi:type="dcterms:W3CDTF">2024-09-03T12:04:00Z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